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8F75" w14:textId="77777777" w:rsidR="00AC3328" w:rsidRDefault="00AC3328"/>
    <w:p w14:paraId="384C5259" w14:textId="77777777" w:rsidR="00266FEF" w:rsidRPr="00A97521" w:rsidRDefault="00266FEF" w:rsidP="00266FEF">
      <w:pPr>
        <w:jc w:val="center"/>
        <w:rPr>
          <w:b/>
          <w:sz w:val="24"/>
          <w:szCs w:val="24"/>
        </w:rPr>
      </w:pPr>
      <w:r w:rsidRPr="00A97521">
        <w:rPr>
          <w:b/>
          <w:sz w:val="24"/>
          <w:szCs w:val="24"/>
        </w:rPr>
        <w:t>ANLAGERICHTLINIEN</w:t>
      </w:r>
    </w:p>
    <w:p w14:paraId="62FFE7D0" w14:textId="77777777" w:rsidR="00266FEF" w:rsidRPr="00A97521" w:rsidRDefault="00266FEF" w:rsidP="00266FEF">
      <w:pPr>
        <w:jc w:val="center"/>
        <w:rPr>
          <w:b/>
          <w:sz w:val="24"/>
          <w:szCs w:val="24"/>
        </w:rPr>
      </w:pPr>
      <w:r w:rsidRPr="00A97521">
        <w:rPr>
          <w:b/>
          <w:sz w:val="24"/>
          <w:szCs w:val="24"/>
        </w:rPr>
        <w:t>der</w:t>
      </w:r>
    </w:p>
    <w:p w14:paraId="0E6CFB58" w14:textId="77777777" w:rsidR="00266FEF" w:rsidRPr="00A97521" w:rsidRDefault="00266FEF" w:rsidP="00266FEF">
      <w:pPr>
        <w:jc w:val="center"/>
        <w:rPr>
          <w:b/>
          <w:sz w:val="24"/>
          <w:szCs w:val="24"/>
        </w:rPr>
      </w:pPr>
      <w:r w:rsidRPr="00A97521">
        <w:rPr>
          <w:b/>
          <w:sz w:val="24"/>
          <w:szCs w:val="24"/>
        </w:rPr>
        <w:t>Bürgerstiftung Neuenkirchen-Vörden</w:t>
      </w:r>
    </w:p>
    <w:p w14:paraId="05F31E36" w14:textId="77777777" w:rsidR="001A21C8" w:rsidRDefault="001A21C8" w:rsidP="001A21C8"/>
    <w:p w14:paraId="5ADABCC8" w14:textId="77777777" w:rsidR="003E37B8" w:rsidRDefault="003E37B8" w:rsidP="001A21C8"/>
    <w:p w14:paraId="14892338" w14:textId="77777777" w:rsidR="001A21C8" w:rsidRDefault="001A21C8" w:rsidP="006866AB">
      <w:pPr>
        <w:jc w:val="both"/>
      </w:pPr>
      <w:r>
        <w:t xml:space="preserve">Diese Anlagerichtlinien geben die Leitlinien für die Vermögensanlage der </w:t>
      </w:r>
      <w:r w:rsidR="00517690">
        <w:t>Bürgerstiftung Neuenkirchen-Vörden</w:t>
      </w:r>
      <w:r>
        <w:t xml:space="preserve"> vor. Sie regeln insbesondere die Anlage des </w:t>
      </w:r>
      <w:r w:rsidR="005E24A4">
        <w:t>Eigenkapitals der Bürgerstiftung (Stiftungskapital, Rücklagen und Umschichtungsergebnisse)</w:t>
      </w:r>
      <w:r>
        <w:t xml:space="preserve"> </w:t>
      </w:r>
      <w:r w:rsidR="005E24A4">
        <w:t>einschließlich der verwalteten unselbstständigen</w:t>
      </w:r>
      <w:r>
        <w:t xml:space="preserve"> Stiftungsfonds.</w:t>
      </w:r>
    </w:p>
    <w:p w14:paraId="6C18D7A9" w14:textId="77777777" w:rsidR="001A21C8" w:rsidRDefault="001A21C8" w:rsidP="006866AB">
      <w:pPr>
        <w:jc w:val="both"/>
      </w:pPr>
    </w:p>
    <w:p w14:paraId="101650B4" w14:textId="77777777" w:rsidR="00FD63AB" w:rsidRPr="00517690" w:rsidRDefault="00FD63AB" w:rsidP="006866AB">
      <w:pPr>
        <w:jc w:val="both"/>
        <w:rPr>
          <w:b/>
        </w:rPr>
      </w:pPr>
      <w:r w:rsidRPr="00517690">
        <w:rPr>
          <w:b/>
        </w:rPr>
        <w:t xml:space="preserve">ANLAGEZIELE </w:t>
      </w:r>
    </w:p>
    <w:p w14:paraId="4322C8DB" w14:textId="77777777" w:rsidR="00FD63AB" w:rsidRDefault="00FD63AB" w:rsidP="006866AB">
      <w:pPr>
        <w:jc w:val="both"/>
      </w:pPr>
      <w:r>
        <w:t>Als gemeinnützige Stiftung verfolgt die Bürgerstiftung bei der V</w:t>
      </w:r>
      <w:r w:rsidR="00517690">
        <w:t>ermögensanlage eine langfristig</w:t>
      </w:r>
      <w:r>
        <w:t xml:space="preserve"> </w:t>
      </w:r>
      <w:r w:rsidR="00517690">
        <w:t>ausgerichtete Anlagestrategie</w:t>
      </w:r>
      <w:r>
        <w:t>. Sie ist laut Satzung dazu verpflichtet, das Stiftungs</w:t>
      </w:r>
      <w:r w:rsidR="005E24A4">
        <w:t>kapital</w:t>
      </w:r>
      <w:r>
        <w:t xml:space="preserve"> </w:t>
      </w:r>
      <w:r w:rsidR="00517690">
        <w:t xml:space="preserve">ungeschmälert zu erhalten sowie sicher und </w:t>
      </w:r>
      <w:r w:rsidR="00BE3CBE">
        <w:t>Ertrag bringend</w:t>
      </w:r>
      <w:r w:rsidR="00517690">
        <w:t xml:space="preserve"> anzulegen (§ 5.2</w:t>
      </w:r>
      <w:r>
        <w:t xml:space="preserve"> der Stiftungssatzung).</w:t>
      </w:r>
    </w:p>
    <w:p w14:paraId="28804DA1" w14:textId="77777777" w:rsidR="00DA2863" w:rsidRDefault="00DA2863" w:rsidP="006866AB">
      <w:pPr>
        <w:jc w:val="both"/>
      </w:pPr>
    </w:p>
    <w:p w14:paraId="5D2EEBAF" w14:textId="77777777" w:rsidR="00DA2863" w:rsidRDefault="00517690" w:rsidP="006866AB">
      <w:pPr>
        <w:jc w:val="both"/>
      </w:pPr>
      <w:r>
        <w:t>Angesichts der aktuellen Niedrigzins</w:t>
      </w:r>
      <w:r w:rsidR="00DA2863" w:rsidRPr="00DA2863">
        <w:t xml:space="preserve">zinspolitik ist es zunehmend schwieriger, </w:t>
      </w:r>
      <w:r w:rsidR="00DA2863">
        <w:t xml:space="preserve">allein durch Zinsanlagen </w:t>
      </w:r>
      <w:r w:rsidR="00DA2863" w:rsidRPr="00DA2863">
        <w:t>stetige Erträge am Kapitalmarkt zu erziele</w:t>
      </w:r>
      <w:r w:rsidR="00DA2863">
        <w:t>n. Zur Erwirtschaftung von</w:t>
      </w:r>
      <w:r w:rsidR="00DA2863" w:rsidRPr="00DA2863">
        <w:t xml:space="preserve"> Erträge</w:t>
      </w:r>
      <w:r w:rsidR="00DA2863">
        <w:t>n</w:t>
      </w:r>
      <w:r w:rsidR="00DA2863" w:rsidRPr="00DA2863">
        <w:t xml:space="preserve"> sind daher</w:t>
      </w:r>
      <w:r w:rsidR="00DA2863">
        <w:t xml:space="preserve"> auch Anlageformen</w:t>
      </w:r>
      <w:r w:rsidR="00DA2863" w:rsidRPr="00DA2863">
        <w:t xml:space="preserve"> zu berücksichtigen, die unweigerlich Marktpreisschwankungen unterliegen. Vermögensverluste sind zu vermeiden, können aber vor dem Hintergrund der schwierigen Zins- bzw. Anlagesituation auftreten und sollen durch eine aktive Vermögensverwaltungsstrategie innerhalb von drei bis fünf Jahren möglichst wieder ausgeglichen werden.</w:t>
      </w:r>
      <w:r w:rsidR="00DA2863">
        <w:t xml:space="preserve"> Zur Reduzierung des Risikos soll das angelegte Vermögen möglichst breit gestreut werden.</w:t>
      </w:r>
    </w:p>
    <w:p w14:paraId="6C147C60" w14:textId="77777777" w:rsidR="00DA2863" w:rsidRDefault="00DA2863" w:rsidP="006866AB">
      <w:pPr>
        <w:jc w:val="both"/>
      </w:pPr>
    </w:p>
    <w:p w14:paraId="68F46CFA" w14:textId="77777777" w:rsidR="00DA2863" w:rsidRDefault="00DA2863" w:rsidP="006866AB">
      <w:pPr>
        <w:jc w:val="both"/>
      </w:pPr>
      <w:r>
        <w:t xml:space="preserve">Das </w:t>
      </w:r>
      <w:r w:rsidR="004364BA">
        <w:t xml:space="preserve">erhaltene </w:t>
      </w:r>
      <w:r>
        <w:t xml:space="preserve">freie </w:t>
      </w:r>
      <w:r w:rsidR="004364BA">
        <w:t>Vermögen</w:t>
      </w:r>
      <w:r>
        <w:t xml:space="preserve"> aus Spenden und zweckgebundenen Spenden </w:t>
      </w:r>
      <w:r w:rsidR="004364BA">
        <w:t xml:space="preserve">sind nicht Bestandteil des Stiftungskapitals, der Rücklagen oder der Umschichtungsergebnisse und </w:t>
      </w:r>
      <w:r>
        <w:t>muss jederzeit verfügbar sein. Eine Anlage dieser Gelder erfolgt nur in täglich oder kurzfristig fälligen Anlagen.</w:t>
      </w:r>
    </w:p>
    <w:p w14:paraId="0405A7A3" w14:textId="77777777" w:rsidR="00885BFE" w:rsidRDefault="00885BFE" w:rsidP="006866AB">
      <w:pPr>
        <w:jc w:val="both"/>
      </w:pPr>
    </w:p>
    <w:p w14:paraId="67FCD282" w14:textId="77777777" w:rsidR="00885BFE" w:rsidRPr="00517690" w:rsidRDefault="00517690" w:rsidP="006866AB">
      <w:pPr>
        <w:jc w:val="both"/>
        <w:rPr>
          <w:b/>
        </w:rPr>
      </w:pPr>
      <w:r w:rsidRPr="00517690">
        <w:rPr>
          <w:b/>
        </w:rPr>
        <w:t>ANLAGEINSTRUMENTE</w:t>
      </w:r>
      <w:r w:rsidR="00885BFE" w:rsidRPr="00517690">
        <w:rPr>
          <w:b/>
        </w:rPr>
        <w:t xml:space="preserve"> </w:t>
      </w:r>
    </w:p>
    <w:p w14:paraId="6924AB34" w14:textId="77777777" w:rsidR="00DA2863" w:rsidRDefault="00885BFE" w:rsidP="006866AB">
      <w:pPr>
        <w:jc w:val="both"/>
      </w:pPr>
      <w:r>
        <w:t>Folgende Anlageinstrumente für das Stiftungskapital</w:t>
      </w:r>
      <w:r w:rsidR="004364BA">
        <w:t>, die Rücklagen und die Umschichtungsergebnisse</w:t>
      </w:r>
      <w:r>
        <w:t xml:space="preserve"> sind zulässig:</w:t>
      </w:r>
    </w:p>
    <w:p w14:paraId="3EC8CBE6" w14:textId="77777777" w:rsidR="00885BFE" w:rsidRDefault="00885BFE" w:rsidP="006866AB">
      <w:pPr>
        <w:jc w:val="both"/>
      </w:pPr>
    </w:p>
    <w:p w14:paraId="38430082" w14:textId="77777777" w:rsidR="00637E9E" w:rsidRDefault="00637E9E" w:rsidP="00CE025C">
      <w:pPr>
        <w:pStyle w:val="Listenabsatz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>Sichteinlagen, Spareinlagen, Termineinlagen (bis zu 100%)</w:t>
      </w:r>
    </w:p>
    <w:p w14:paraId="7D775FC7" w14:textId="77777777" w:rsidR="00637E9E" w:rsidRDefault="009807E6" w:rsidP="00CE025C">
      <w:pPr>
        <w:pStyle w:val="Listenabsatz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 xml:space="preserve">festverzinsliche auf EURO </w:t>
      </w:r>
      <w:r w:rsidR="00637E9E">
        <w:t>lautende Anleihen nach sorgfältiger Bonitätsprüfung und mit einer Bonität im höheren Investment-Grade-Bereich, mindesten</w:t>
      </w:r>
      <w:r>
        <w:t>s A-</w:t>
      </w:r>
      <w:r w:rsidR="00637E9E">
        <w:t xml:space="preserve"> der Ratingagentur S</w:t>
      </w:r>
      <w:r>
        <w:t xml:space="preserve">tandard and </w:t>
      </w:r>
      <w:proofErr w:type="spellStart"/>
      <w:r>
        <w:t>Poors</w:t>
      </w:r>
      <w:proofErr w:type="spellEnd"/>
      <w:r w:rsidR="00637E9E">
        <w:t>, (bis zu 100%)</w:t>
      </w:r>
    </w:p>
    <w:p w14:paraId="67A24C5A" w14:textId="77777777" w:rsidR="006866AB" w:rsidRPr="00CE025C" w:rsidRDefault="009807E6" w:rsidP="00CE025C">
      <w:pPr>
        <w:pStyle w:val="Listenabsatz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>nachrangige Einlage mit fester Laufzeit bei einer Volks- oder Raiffeisenbank (bis zu 100%)</w:t>
      </w:r>
    </w:p>
    <w:p w14:paraId="58580AA9" w14:textId="77777777" w:rsidR="00637E9E" w:rsidRDefault="00637E9E" w:rsidP="00CE025C">
      <w:pPr>
        <w:pStyle w:val="Listenabsatz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>an der Börse handelbare ausschüttende Investmentfonds (max. Risikoneigung siehe Fondsklasse gemäß wesen</w:t>
      </w:r>
      <w:r w:rsidR="00D979D6">
        <w:t xml:space="preserve">tliche Anlegerinformationen </w:t>
      </w:r>
      <w:proofErr w:type="spellStart"/>
      <w:r w:rsidR="00D979D6">
        <w:t>wAI</w:t>
      </w:r>
      <w:proofErr w:type="spellEnd"/>
      <w:r>
        <w:t>*</w:t>
      </w:r>
      <w:r w:rsidR="00266FEF">
        <w:t xml:space="preserve"> auf einer Skala von 1 bis 7, wobei die Höhe der Ziffer eine typischerweise höhere Rendite bzw. ein höheres Risiko beschreibt</w:t>
      </w:r>
      <w:r w:rsidR="004364BA">
        <w:t>) wie folgt:</w:t>
      </w:r>
    </w:p>
    <w:p w14:paraId="449DD9CC" w14:textId="77777777" w:rsidR="00637E9E" w:rsidRDefault="00637E9E" w:rsidP="006866AB">
      <w:pPr>
        <w:ind w:left="284"/>
        <w:jc w:val="both"/>
      </w:pPr>
      <w:r>
        <w:t>o</w:t>
      </w:r>
      <w:r>
        <w:tab/>
        <w:t>reine Geldmarkt- und Rentenfonds, max. Risiko 3 (bis zu 100%)</w:t>
      </w:r>
    </w:p>
    <w:p w14:paraId="76B9503B" w14:textId="77777777" w:rsidR="00637E9E" w:rsidRDefault="00637E9E" w:rsidP="006866AB">
      <w:pPr>
        <w:ind w:left="709" w:hanging="425"/>
        <w:jc w:val="both"/>
      </w:pPr>
      <w:r>
        <w:t>o</w:t>
      </w:r>
      <w:r>
        <w:tab/>
        <w:t>für die folgenden Produkte gilt eine Beschränkung von zusammen max. 60%, davon max. 20% in der Risikostufe 5:</w:t>
      </w:r>
    </w:p>
    <w:p w14:paraId="3E47E191" w14:textId="77777777" w:rsidR="00637E9E" w:rsidRDefault="00637E9E" w:rsidP="006866AB">
      <w:pPr>
        <w:pStyle w:val="Listenabsatz"/>
        <w:numPr>
          <w:ilvl w:val="0"/>
          <w:numId w:val="3"/>
        </w:numPr>
        <w:ind w:left="1134" w:hanging="425"/>
        <w:jc w:val="both"/>
      </w:pPr>
      <w:r>
        <w:t>reine Aktienfonds, max. Risiko</w:t>
      </w:r>
      <w:r w:rsidR="00D019CE">
        <w:t>stufe</w:t>
      </w:r>
      <w:r>
        <w:t xml:space="preserve"> 5</w:t>
      </w:r>
    </w:p>
    <w:p w14:paraId="66A55483" w14:textId="77777777" w:rsidR="00637E9E" w:rsidRDefault="00637E9E" w:rsidP="006866AB">
      <w:pPr>
        <w:pStyle w:val="Listenabsatz"/>
        <w:numPr>
          <w:ilvl w:val="0"/>
          <w:numId w:val="3"/>
        </w:numPr>
        <w:ind w:left="1134" w:hanging="425"/>
        <w:jc w:val="both"/>
      </w:pPr>
      <w:r>
        <w:t xml:space="preserve">vermögensverwaltende Mischfonds, max. </w:t>
      </w:r>
      <w:r w:rsidR="00D019CE">
        <w:t xml:space="preserve">Risikostufe </w:t>
      </w:r>
      <w:r>
        <w:t>4</w:t>
      </w:r>
    </w:p>
    <w:p w14:paraId="6FA80173" w14:textId="77777777" w:rsidR="00885BFE" w:rsidRDefault="00637E9E" w:rsidP="006866AB">
      <w:pPr>
        <w:pStyle w:val="Listenabsatz"/>
        <w:numPr>
          <w:ilvl w:val="0"/>
          <w:numId w:val="3"/>
        </w:numPr>
        <w:ind w:left="1134" w:hanging="425"/>
        <w:jc w:val="both"/>
      </w:pPr>
      <w:r>
        <w:t>offene Immobilienfonds max.</w:t>
      </w:r>
      <w:r w:rsidR="00D019CE">
        <w:t xml:space="preserve"> Risikostufe </w:t>
      </w:r>
      <w:r>
        <w:t>4</w:t>
      </w:r>
    </w:p>
    <w:p w14:paraId="1B4C8D25" w14:textId="77777777" w:rsidR="00885BFE" w:rsidRDefault="00885BFE" w:rsidP="006866AB">
      <w:pPr>
        <w:jc w:val="both"/>
      </w:pPr>
    </w:p>
    <w:p w14:paraId="62CF7B5D" w14:textId="77777777" w:rsidR="00637E9E" w:rsidRDefault="00637E9E" w:rsidP="006866AB">
      <w:pPr>
        <w:jc w:val="both"/>
      </w:pPr>
      <w:r>
        <w:t xml:space="preserve">Ausschüttungen fallen in den laufenden Haushalt und </w:t>
      </w:r>
      <w:r w:rsidR="0004107F">
        <w:t>werden zur</w:t>
      </w:r>
      <w:r>
        <w:t xml:space="preserve"> Erfüllung des Sti</w:t>
      </w:r>
      <w:r w:rsidR="00D019CE">
        <w:t xml:space="preserve">ftungszwecks </w:t>
      </w:r>
      <w:r w:rsidR="0004107F">
        <w:t>ver</w:t>
      </w:r>
      <w:r w:rsidR="00D019CE">
        <w:t xml:space="preserve">wendet. </w:t>
      </w:r>
      <w:r w:rsidR="0004107F">
        <w:t>Durch</w:t>
      </w:r>
      <w:r>
        <w:t xml:space="preserve"> Kursrückgänge von Wertpapieren können </w:t>
      </w:r>
      <w:r w:rsidR="0004107F">
        <w:t>negative Umschichtungsergebnisse entstehen.</w:t>
      </w:r>
    </w:p>
    <w:p w14:paraId="4CBC7E18" w14:textId="77777777" w:rsidR="00637E9E" w:rsidRDefault="00637E9E" w:rsidP="006866AB">
      <w:pPr>
        <w:jc w:val="both"/>
      </w:pPr>
    </w:p>
    <w:p w14:paraId="763E3A5A" w14:textId="77777777" w:rsidR="00606538" w:rsidRPr="009C0B6D" w:rsidRDefault="00606538" w:rsidP="006866AB">
      <w:pPr>
        <w:jc w:val="both"/>
        <w:rPr>
          <w:b/>
        </w:rPr>
      </w:pPr>
      <w:r w:rsidRPr="009C0B6D">
        <w:rPr>
          <w:b/>
        </w:rPr>
        <w:t xml:space="preserve">ANLAGEORGANISATION </w:t>
      </w:r>
    </w:p>
    <w:p w14:paraId="4C519484" w14:textId="77777777" w:rsidR="00606538" w:rsidRDefault="00606538" w:rsidP="006866AB">
      <w:pPr>
        <w:jc w:val="both"/>
      </w:pPr>
      <w:r>
        <w:t>Der Vorstand der Bürgerstiftung</w:t>
      </w:r>
      <w:r w:rsidR="00C25F4A">
        <w:t xml:space="preserve"> Neuenkirchen-Vörden</w:t>
      </w:r>
    </w:p>
    <w:p w14:paraId="70BB75AD" w14:textId="77777777" w:rsidR="00606538" w:rsidRDefault="00606538" w:rsidP="006866AB">
      <w:pPr>
        <w:jc w:val="both"/>
      </w:pPr>
    </w:p>
    <w:p w14:paraId="629E5300" w14:textId="77777777" w:rsidR="00606538" w:rsidRDefault="00606538" w:rsidP="00CE025C">
      <w:pPr>
        <w:pStyle w:val="Listenabsatz"/>
        <w:numPr>
          <w:ilvl w:val="0"/>
          <w:numId w:val="4"/>
        </w:numPr>
        <w:spacing w:after="120"/>
        <w:ind w:left="284" w:hanging="284"/>
        <w:contextualSpacing w:val="0"/>
        <w:jc w:val="both"/>
      </w:pPr>
      <w:r>
        <w:t>trägt die Gesamtverantwortung für die rechts- und satzungsgemäße Anlage des Stiftungsvermögens.</w:t>
      </w:r>
    </w:p>
    <w:p w14:paraId="6EE3093A" w14:textId="77777777" w:rsidR="00606538" w:rsidRDefault="00606538" w:rsidP="00CE025C">
      <w:pPr>
        <w:pStyle w:val="Listenabsatz"/>
        <w:numPr>
          <w:ilvl w:val="0"/>
          <w:numId w:val="4"/>
        </w:numPr>
        <w:spacing w:after="120"/>
        <w:ind w:left="284" w:hanging="284"/>
        <w:contextualSpacing w:val="0"/>
        <w:jc w:val="both"/>
      </w:pPr>
      <w:r>
        <w:t>wählt Vermögensverwalter/Banken aus, die mit der Anlage des Vermögens betraut werden, und stellt sicher, dass ihnen diese Anlagerichtlinien zur Kenntnis gebracht werden.</w:t>
      </w:r>
    </w:p>
    <w:p w14:paraId="16E5FB4C" w14:textId="77777777" w:rsidR="00606538" w:rsidRDefault="00606538" w:rsidP="00CE025C">
      <w:pPr>
        <w:pStyle w:val="Listenabsatz"/>
        <w:numPr>
          <w:ilvl w:val="0"/>
          <w:numId w:val="4"/>
        </w:numPr>
        <w:spacing w:after="120"/>
        <w:ind w:left="284" w:hanging="284"/>
        <w:contextualSpacing w:val="0"/>
        <w:jc w:val="both"/>
      </w:pPr>
      <w:r>
        <w:t>stellt durch entsprechende Unterschriftsregelungen sicher, dass Auszahlungen aus den Vermögensdepots immer durch zwei Vorstandsmitglieder zu zeichnen sind.</w:t>
      </w:r>
    </w:p>
    <w:p w14:paraId="0FE64497" w14:textId="77777777" w:rsidR="00606538" w:rsidRDefault="00606538" w:rsidP="00CE025C">
      <w:pPr>
        <w:pStyle w:val="Listenabsatz"/>
        <w:numPr>
          <w:ilvl w:val="0"/>
          <w:numId w:val="4"/>
        </w:numPr>
        <w:spacing w:after="120"/>
        <w:ind w:left="284" w:hanging="284"/>
        <w:contextualSpacing w:val="0"/>
        <w:jc w:val="both"/>
      </w:pPr>
      <w:r>
        <w:t>kann einen Anlageausschuss einsetzen und dessen Rolle und Aufgaben festlegen.</w:t>
      </w:r>
    </w:p>
    <w:p w14:paraId="0FE20E41" w14:textId="77777777" w:rsidR="004B334E" w:rsidRDefault="004B334E" w:rsidP="006866AB">
      <w:pPr>
        <w:jc w:val="both"/>
      </w:pPr>
    </w:p>
    <w:p w14:paraId="6E498C55" w14:textId="77777777" w:rsidR="00CE0C84" w:rsidRPr="00C25F4A" w:rsidRDefault="00C25F4A" w:rsidP="006866AB">
      <w:pPr>
        <w:jc w:val="both"/>
        <w:rPr>
          <w:b/>
        </w:rPr>
      </w:pPr>
      <w:r w:rsidRPr="00C25F4A">
        <w:rPr>
          <w:b/>
        </w:rPr>
        <w:t>BERICHTERSTATTUNG</w:t>
      </w:r>
      <w:r w:rsidR="00CE0C84" w:rsidRPr="00C25F4A">
        <w:rPr>
          <w:b/>
        </w:rPr>
        <w:t xml:space="preserve"> </w:t>
      </w:r>
    </w:p>
    <w:p w14:paraId="169985FA" w14:textId="77777777" w:rsidR="00CE0C84" w:rsidRDefault="00CE0C84" w:rsidP="006866AB">
      <w:pPr>
        <w:jc w:val="both"/>
      </w:pPr>
      <w:r>
        <w:t xml:space="preserve">Der Gesamtvorstand ist für die Einhaltung der Anlagerichtlinien verantwortlich. Er berichtet dem Stiftungskuratorium mindestens einmal jährlich über die Entwicklung der eingesetzten Gelder. </w:t>
      </w:r>
    </w:p>
    <w:p w14:paraId="1AB58D48" w14:textId="77777777" w:rsidR="00CE0C84" w:rsidRDefault="00CE0C84" w:rsidP="006866AB">
      <w:pPr>
        <w:jc w:val="both"/>
      </w:pPr>
    </w:p>
    <w:p w14:paraId="41F9C53E" w14:textId="77777777" w:rsidR="00C25F4A" w:rsidRPr="00C25F4A" w:rsidRDefault="00C25F4A" w:rsidP="006866AB">
      <w:pPr>
        <w:jc w:val="both"/>
        <w:rPr>
          <w:b/>
        </w:rPr>
      </w:pPr>
      <w:r w:rsidRPr="00C25F4A">
        <w:rPr>
          <w:b/>
        </w:rPr>
        <w:t>GÜLTIGKEIT</w:t>
      </w:r>
    </w:p>
    <w:p w14:paraId="2610BD4F" w14:textId="77777777" w:rsidR="00CE0C84" w:rsidRPr="00CE0C84" w:rsidRDefault="00CE0C84" w:rsidP="006866AB">
      <w:pPr>
        <w:jc w:val="both"/>
      </w:pPr>
      <w:r>
        <w:t>Di</w:t>
      </w:r>
      <w:r w:rsidR="00C25F4A">
        <w:t>ese Anlagerichtlinie tritt am 18.11.2021</w:t>
      </w:r>
      <w:r>
        <w:t xml:space="preserve"> in Kraft. Sie ist auf unbestimmte Dauer gültig. Die Anlagerichtlinien sollten im jährlichen Abstand überprüft und ggf. an veränderte Marktbedingungen oder Erfordernisse der Stiftung angepasst werden. </w:t>
      </w:r>
      <w:r w:rsidRPr="00CE0C84">
        <w:t>Über die Modifizierung entscheidet der Stiftungsvorstand durch Beschluss im Einvernehmen m</w:t>
      </w:r>
      <w:r w:rsidR="006866AB">
        <w:t>it dem Stiftungskuratorium</w:t>
      </w:r>
      <w:r w:rsidRPr="00CE0C84">
        <w:t>.</w:t>
      </w:r>
    </w:p>
    <w:p w14:paraId="6B3B34BF" w14:textId="77777777" w:rsidR="00CE0C84" w:rsidRDefault="00CE0C84" w:rsidP="006866AB">
      <w:pPr>
        <w:jc w:val="both"/>
      </w:pPr>
    </w:p>
    <w:p w14:paraId="5963744D" w14:textId="3CC81512" w:rsidR="00CE0C84" w:rsidRDefault="00CE0C84" w:rsidP="00CE0C84"/>
    <w:p w14:paraId="62DD261C" w14:textId="590BE074" w:rsidR="009D18C0" w:rsidRDefault="009D18C0" w:rsidP="00CE0C84"/>
    <w:p w14:paraId="37AEABA4" w14:textId="42FB82D4" w:rsidR="009D18C0" w:rsidRDefault="009D18C0" w:rsidP="00CE0C84"/>
    <w:p w14:paraId="45D6C719" w14:textId="5BA0D9E1" w:rsidR="009D18C0" w:rsidRDefault="009D18C0" w:rsidP="00CE0C84"/>
    <w:p w14:paraId="44D377BC" w14:textId="7FA54FD1" w:rsidR="009D18C0" w:rsidRDefault="009D18C0" w:rsidP="00CE0C84"/>
    <w:p w14:paraId="03F4140B" w14:textId="45B19B13" w:rsidR="009D18C0" w:rsidRDefault="009D18C0" w:rsidP="00CE0C84"/>
    <w:p w14:paraId="499700C4" w14:textId="41054960" w:rsidR="009D18C0" w:rsidRDefault="009D18C0" w:rsidP="00CE0C84"/>
    <w:p w14:paraId="02DCD07B" w14:textId="6C36A1AC" w:rsidR="009D18C0" w:rsidRDefault="009D18C0" w:rsidP="00CE0C84"/>
    <w:p w14:paraId="06E53D06" w14:textId="79A79270" w:rsidR="009D18C0" w:rsidRDefault="009D18C0" w:rsidP="00CE0C84"/>
    <w:p w14:paraId="2CA9DEE1" w14:textId="0BD831E3" w:rsidR="009D18C0" w:rsidRDefault="009D18C0" w:rsidP="00CE0C84"/>
    <w:p w14:paraId="7FFE8443" w14:textId="62250463" w:rsidR="009D18C0" w:rsidRDefault="009D18C0" w:rsidP="00CE0C84"/>
    <w:p w14:paraId="41262228" w14:textId="6EF92A5A" w:rsidR="009D18C0" w:rsidRDefault="009D18C0" w:rsidP="00CE0C84"/>
    <w:p w14:paraId="67DAA605" w14:textId="4A1FFA3D" w:rsidR="009D18C0" w:rsidRDefault="009D18C0" w:rsidP="00CE0C84"/>
    <w:p w14:paraId="47CFC9A1" w14:textId="09770CAB" w:rsidR="009D18C0" w:rsidRDefault="009D18C0" w:rsidP="00CE0C84"/>
    <w:p w14:paraId="372DB42B" w14:textId="6F65AA5D" w:rsidR="009D18C0" w:rsidRDefault="009D18C0" w:rsidP="00CE0C84"/>
    <w:p w14:paraId="2A459C56" w14:textId="4B8B4E1B" w:rsidR="009D18C0" w:rsidRDefault="009D18C0" w:rsidP="00CE0C84"/>
    <w:p w14:paraId="3A404ADC" w14:textId="4F84A6B9" w:rsidR="009D18C0" w:rsidRDefault="009D18C0" w:rsidP="00CE0C84"/>
    <w:p w14:paraId="2EFCE804" w14:textId="375DAF01" w:rsidR="009D18C0" w:rsidRDefault="009D18C0" w:rsidP="00CE0C84"/>
    <w:p w14:paraId="200F9321" w14:textId="108C23B2" w:rsidR="009D18C0" w:rsidRDefault="009D18C0" w:rsidP="00CE0C84"/>
    <w:p w14:paraId="6B421ACF" w14:textId="620B6B69" w:rsidR="009D18C0" w:rsidRDefault="009D18C0" w:rsidP="00CE0C84"/>
    <w:p w14:paraId="6B2490DB" w14:textId="74D6091B" w:rsidR="009D18C0" w:rsidRDefault="009D18C0" w:rsidP="00CE0C84"/>
    <w:p w14:paraId="52285235" w14:textId="77777777" w:rsidR="009D18C0" w:rsidRDefault="009D18C0" w:rsidP="00CE0C84"/>
    <w:p w14:paraId="201A29F6" w14:textId="26C89251" w:rsidR="009D18C0" w:rsidRDefault="009D18C0" w:rsidP="00CE0C84"/>
    <w:p w14:paraId="77A1FFFE" w14:textId="3BDBC87F" w:rsidR="009D18C0" w:rsidRDefault="009D18C0" w:rsidP="00CE0C84">
      <w:r w:rsidRPr="007B2FA4">
        <w:t xml:space="preserve">* </w:t>
      </w:r>
      <w:r>
        <w:t>Die „wesentlichen Anlegerinformationen“ (</w:t>
      </w:r>
      <w:proofErr w:type="spellStart"/>
      <w:r>
        <w:t>wAI</w:t>
      </w:r>
      <w:proofErr w:type="spellEnd"/>
      <w:r>
        <w:t>, auf Englisch kurz KID) fassen auf 2 bis max. 3 DIN-A4-Seiten knapp zusammen, was für die Anlageentscheidung relevant ist. Sie sollen Sparern helfen, Fonds zu vergleichen, inklusive kurzer Beschreibung der Ziele und Anlagepolitik des jeweiligen Fonds, des Risiko- und Ertragsprofils, Kosten des Fonds und der Wertentwicklung in der Vergangenheit (Definition lt. Deutscher Fondsverband BVI)</w:t>
      </w:r>
    </w:p>
    <w:sectPr w:rsidR="009D18C0" w:rsidSect="005A1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46C1" w14:textId="77777777" w:rsidR="00043871" w:rsidRDefault="00043871" w:rsidP="003E37B8">
      <w:r>
        <w:separator/>
      </w:r>
    </w:p>
  </w:endnote>
  <w:endnote w:type="continuationSeparator" w:id="0">
    <w:p w14:paraId="7778B27B" w14:textId="77777777" w:rsidR="00043871" w:rsidRDefault="00043871" w:rsidP="003E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C6DF" w14:textId="77777777" w:rsidR="00445273" w:rsidRDefault="004452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53C8" w14:textId="23FECD1D" w:rsidR="006866AB" w:rsidRDefault="006866AB" w:rsidP="006866AB"/>
  <w:p w14:paraId="2802F72D" w14:textId="16C2BFCF" w:rsidR="006866AB" w:rsidRDefault="005A1424">
    <w:pPr>
      <w:pStyle w:val="Fu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BFADF14" wp14:editId="22734D64">
          <wp:simplePos x="0" y="0"/>
          <wp:positionH relativeFrom="column">
            <wp:posOffset>522605</wp:posOffset>
          </wp:positionH>
          <wp:positionV relativeFrom="paragraph">
            <wp:posOffset>147320</wp:posOffset>
          </wp:positionV>
          <wp:extent cx="4723130" cy="175895"/>
          <wp:effectExtent l="0" t="0" r="1270" b="1905"/>
          <wp:wrapNone/>
          <wp:docPr id="4027634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318659" name="Grafik 4833186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13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0B65" w14:textId="6AB380F6" w:rsidR="00445273" w:rsidRDefault="00445273">
    <w:pPr>
      <w:pStyle w:val="Fu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CC70EAB" wp14:editId="7FD97423">
          <wp:simplePos x="0" y="0"/>
          <wp:positionH relativeFrom="column">
            <wp:posOffset>521970</wp:posOffset>
          </wp:positionH>
          <wp:positionV relativeFrom="paragraph">
            <wp:posOffset>131064</wp:posOffset>
          </wp:positionV>
          <wp:extent cx="4723200" cy="176400"/>
          <wp:effectExtent l="0" t="0" r="0" b="1905"/>
          <wp:wrapNone/>
          <wp:docPr id="483318659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318659" name="Grafik 4833186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2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8A88" w14:textId="77777777" w:rsidR="00043871" w:rsidRDefault="00043871" w:rsidP="003E37B8">
      <w:r>
        <w:separator/>
      </w:r>
    </w:p>
  </w:footnote>
  <w:footnote w:type="continuationSeparator" w:id="0">
    <w:p w14:paraId="372786BC" w14:textId="77777777" w:rsidR="00043871" w:rsidRDefault="00043871" w:rsidP="003E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CCF3" w14:textId="77777777" w:rsidR="00445273" w:rsidRDefault="004452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3238" w14:textId="666DA0E8" w:rsidR="0070674C" w:rsidRPr="0070674C" w:rsidRDefault="005A1424" w:rsidP="0070674C">
    <w:pPr>
      <w:pStyle w:val="Kopfzeile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AF3F330" wp14:editId="557FC9F3">
          <wp:simplePos x="0" y="0"/>
          <wp:positionH relativeFrom="column">
            <wp:posOffset>2253615</wp:posOffset>
          </wp:positionH>
          <wp:positionV relativeFrom="paragraph">
            <wp:posOffset>-222885</wp:posOffset>
          </wp:positionV>
          <wp:extent cx="1245870" cy="487274"/>
          <wp:effectExtent l="0" t="0" r="0" b="0"/>
          <wp:wrapNone/>
          <wp:docPr id="1509854539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21695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48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5AE">
      <w:rPr>
        <w:sz w:val="20"/>
        <w:szCs w:val="20"/>
      </w:rPr>
      <w:tab/>
    </w:r>
    <w:r w:rsidR="0070674C" w:rsidRPr="0070674C">
      <w:rPr>
        <w:sz w:val="20"/>
        <w:szCs w:val="20"/>
      </w:rPr>
      <w:t xml:space="preserve"> </w:t>
    </w:r>
    <w:r w:rsidR="0070674C">
      <w:rPr>
        <w:sz w:val="20"/>
        <w:szCs w:val="20"/>
      </w:rPr>
      <w:tab/>
    </w:r>
    <w:r w:rsidR="0070674C" w:rsidRPr="000E15AE">
      <w:rPr>
        <w:color w:val="767171" w:themeColor="background2" w:themeShade="80"/>
        <w:sz w:val="20"/>
        <w:szCs w:val="20"/>
      </w:rPr>
      <w:t xml:space="preserve">Seite </w:t>
    </w:r>
    <w:sdt>
      <w:sdtPr>
        <w:rPr>
          <w:color w:val="767171" w:themeColor="background2" w:themeShade="80"/>
          <w:sz w:val="20"/>
          <w:szCs w:val="20"/>
        </w:rPr>
        <w:id w:val="779142974"/>
        <w:docPartObj>
          <w:docPartGallery w:val="Page Numbers (Top of Page)"/>
          <w:docPartUnique/>
        </w:docPartObj>
      </w:sdtPr>
      <w:sdtContent>
        <w:r w:rsidR="0070674C" w:rsidRPr="000E15AE">
          <w:rPr>
            <w:color w:val="767171" w:themeColor="background2" w:themeShade="80"/>
            <w:sz w:val="20"/>
            <w:szCs w:val="20"/>
          </w:rPr>
          <w:fldChar w:fldCharType="begin"/>
        </w:r>
        <w:r w:rsidR="0070674C" w:rsidRPr="000E15AE">
          <w:rPr>
            <w:color w:val="767171" w:themeColor="background2" w:themeShade="80"/>
            <w:sz w:val="20"/>
            <w:szCs w:val="20"/>
          </w:rPr>
          <w:instrText>PAGE   \* MERGEFORMAT</w:instrText>
        </w:r>
        <w:r w:rsidR="0070674C" w:rsidRPr="000E15AE">
          <w:rPr>
            <w:color w:val="767171" w:themeColor="background2" w:themeShade="80"/>
            <w:sz w:val="20"/>
            <w:szCs w:val="20"/>
          </w:rPr>
          <w:fldChar w:fldCharType="separate"/>
        </w:r>
        <w:r w:rsidR="005E11A8" w:rsidRPr="000E15AE">
          <w:rPr>
            <w:noProof/>
            <w:color w:val="767171" w:themeColor="background2" w:themeShade="80"/>
            <w:sz w:val="20"/>
            <w:szCs w:val="20"/>
          </w:rPr>
          <w:t>2</w:t>
        </w:r>
        <w:r w:rsidR="0070674C" w:rsidRPr="000E15AE">
          <w:rPr>
            <w:color w:val="767171" w:themeColor="background2" w:themeShade="80"/>
            <w:sz w:val="20"/>
            <w:szCs w:val="20"/>
          </w:rPr>
          <w:fldChar w:fldCharType="end"/>
        </w:r>
        <w:r w:rsidR="0070674C" w:rsidRPr="000E15AE">
          <w:rPr>
            <w:color w:val="767171" w:themeColor="background2" w:themeShade="80"/>
            <w:sz w:val="20"/>
            <w:szCs w:val="20"/>
          </w:rPr>
          <w:t xml:space="preserve"> von 2</w:t>
        </w:r>
      </w:sdtContent>
    </w:sdt>
  </w:p>
  <w:p w14:paraId="75F577FD" w14:textId="79CAEB2E" w:rsidR="003E37B8" w:rsidRPr="003E37B8" w:rsidRDefault="003E37B8">
    <w:pPr>
      <w:pStyle w:val="Kopfzeil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61FB" w14:textId="1B42BF59" w:rsidR="006866AB" w:rsidRPr="0070674C" w:rsidRDefault="00445273" w:rsidP="006866AB">
    <w:pPr>
      <w:pStyle w:val="Kopfzeile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C589AD" wp14:editId="3A2578D5">
          <wp:simplePos x="0" y="0"/>
          <wp:positionH relativeFrom="column">
            <wp:posOffset>2261235</wp:posOffset>
          </wp:positionH>
          <wp:positionV relativeFrom="paragraph">
            <wp:posOffset>-228346</wp:posOffset>
          </wp:positionV>
          <wp:extent cx="1245870" cy="487274"/>
          <wp:effectExtent l="0" t="0" r="0" b="0"/>
          <wp:wrapNone/>
          <wp:docPr id="1598566038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21695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48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ab/>
    </w:r>
    <w:r w:rsidR="006866AB">
      <w:rPr>
        <w:sz w:val="20"/>
        <w:szCs w:val="20"/>
      </w:rPr>
      <w:tab/>
    </w:r>
    <w:r w:rsidR="006866AB" w:rsidRPr="00445273">
      <w:rPr>
        <w:color w:val="767171" w:themeColor="background2" w:themeShade="80"/>
        <w:sz w:val="20"/>
        <w:szCs w:val="20"/>
      </w:rPr>
      <w:t xml:space="preserve">Seite </w:t>
    </w:r>
    <w:sdt>
      <w:sdtPr>
        <w:rPr>
          <w:color w:val="767171" w:themeColor="background2" w:themeShade="80"/>
          <w:sz w:val="20"/>
          <w:szCs w:val="20"/>
        </w:rPr>
        <w:id w:val="1864934631"/>
        <w:docPartObj>
          <w:docPartGallery w:val="Page Numbers (Top of Page)"/>
          <w:docPartUnique/>
        </w:docPartObj>
      </w:sdtPr>
      <w:sdtContent>
        <w:r w:rsidR="006866AB" w:rsidRPr="00445273">
          <w:rPr>
            <w:color w:val="767171" w:themeColor="background2" w:themeShade="80"/>
            <w:sz w:val="20"/>
            <w:szCs w:val="20"/>
          </w:rPr>
          <w:fldChar w:fldCharType="begin"/>
        </w:r>
        <w:r w:rsidR="006866AB" w:rsidRPr="00445273">
          <w:rPr>
            <w:color w:val="767171" w:themeColor="background2" w:themeShade="80"/>
            <w:sz w:val="20"/>
            <w:szCs w:val="20"/>
          </w:rPr>
          <w:instrText>PAGE   \* MERGEFORMAT</w:instrText>
        </w:r>
        <w:r w:rsidR="006866AB" w:rsidRPr="00445273">
          <w:rPr>
            <w:color w:val="767171" w:themeColor="background2" w:themeShade="80"/>
            <w:sz w:val="20"/>
            <w:szCs w:val="20"/>
          </w:rPr>
          <w:fldChar w:fldCharType="separate"/>
        </w:r>
        <w:r w:rsidR="005E11A8" w:rsidRPr="00445273">
          <w:rPr>
            <w:noProof/>
            <w:color w:val="767171" w:themeColor="background2" w:themeShade="80"/>
            <w:sz w:val="20"/>
            <w:szCs w:val="20"/>
          </w:rPr>
          <w:t>1</w:t>
        </w:r>
        <w:r w:rsidR="006866AB" w:rsidRPr="00445273">
          <w:rPr>
            <w:color w:val="767171" w:themeColor="background2" w:themeShade="80"/>
            <w:sz w:val="20"/>
            <w:szCs w:val="20"/>
          </w:rPr>
          <w:fldChar w:fldCharType="end"/>
        </w:r>
        <w:r w:rsidR="006866AB" w:rsidRPr="00445273">
          <w:rPr>
            <w:color w:val="767171" w:themeColor="background2" w:themeShade="80"/>
            <w:sz w:val="20"/>
            <w:szCs w:val="20"/>
          </w:rPr>
          <w:t xml:space="preserve"> von 2</w:t>
        </w:r>
      </w:sdtContent>
    </w:sdt>
  </w:p>
  <w:p w14:paraId="22969CCC" w14:textId="1476CFF7" w:rsidR="006866AB" w:rsidRPr="006866AB" w:rsidRDefault="006866AB" w:rsidP="006866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0A0A"/>
    <w:multiLevelType w:val="hybridMultilevel"/>
    <w:tmpl w:val="0D362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43C37"/>
    <w:multiLevelType w:val="hybridMultilevel"/>
    <w:tmpl w:val="F3801A34"/>
    <w:lvl w:ilvl="0" w:tplc="45AAD8A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41967"/>
    <w:multiLevelType w:val="hybridMultilevel"/>
    <w:tmpl w:val="F8624F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2EA74C">
      <w:numFmt w:val="bullet"/>
      <w:lvlText w:val="-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0D26F7"/>
    <w:multiLevelType w:val="hybridMultilevel"/>
    <w:tmpl w:val="21F4D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29191">
    <w:abstractNumId w:val="2"/>
  </w:num>
  <w:num w:numId="2" w16cid:durableId="656038423">
    <w:abstractNumId w:val="1"/>
  </w:num>
  <w:num w:numId="3" w16cid:durableId="782386525">
    <w:abstractNumId w:val="3"/>
  </w:num>
  <w:num w:numId="4" w16cid:durableId="12735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C8"/>
    <w:rsid w:val="0004107F"/>
    <w:rsid w:val="00043871"/>
    <w:rsid w:val="000E15AE"/>
    <w:rsid w:val="001715B4"/>
    <w:rsid w:val="001A21C8"/>
    <w:rsid w:val="00266FEF"/>
    <w:rsid w:val="003E37B8"/>
    <w:rsid w:val="004364BA"/>
    <w:rsid w:val="00445273"/>
    <w:rsid w:val="004B334E"/>
    <w:rsid w:val="00517690"/>
    <w:rsid w:val="005A1424"/>
    <w:rsid w:val="005E11A8"/>
    <w:rsid w:val="005E24A4"/>
    <w:rsid w:val="00606538"/>
    <w:rsid w:val="00637E9E"/>
    <w:rsid w:val="006533C4"/>
    <w:rsid w:val="006866AB"/>
    <w:rsid w:val="0070674C"/>
    <w:rsid w:val="007B2FA4"/>
    <w:rsid w:val="00885BFE"/>
    <w:rsid w:val="00890F9B"/>
    <w:rsid w:val="0094542C"/>
    <w:rsid w:val="009807E6"/>
    <w:rsid w:val="009C052A"/>
    <w:rsid w:val="009C0B6D"/>
    <w:rsid w:val="009D18C0"/>
    <w:rsid w:val="00A97521"/>
    <w:rsid w:val="00AC3328"/>
    <w:rsid w:val="00BE3CBE"/>
    <w:rsid w:val="00C25F4A"/>
    <w:rsid w:val="00C45984"/>
    <w:rsid w:val="00C97CB5"/>
    <w:rsid w:val="00CE025C"/>
    <w:rsid w:val="00CE0C84"/>
    <w:rsid w:val="00D019CE"/>
    <w:rsid w:val="00D979D6"/>
    <w:rsid w:val="00DA2863"/>
    <w:rsid w:val="00E02732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6E536"/>
  <w15:chartTrackingRefBased/>
  <w15:docId w15:val="{69D21801-B9B3-48A6-B52A-7300B110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769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E37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7B8"/>
  </w:style>
  <w:style w:type="paragraph" w:styleId="Fuzeile">
    <w:name w:val="footer"/>
    <w:basedOn w:val="Standard"/>
    <w:link w:val="FuzeileZchn"/>
    <w:uiPriority w:val="99"/>
    <w:unhideWhenUsed/>
    <w:rsid w:val="003E3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Plischewski</dc:creator>
  <cp:keywords/>
  <dc:description/>
  <cp:lastModifiedBy>Mirko Buchholz</cp:lastModifiedBy>
  <cp:revision>26</cp:revision>
  <dcterms:created xsi:type="dcterms:W3CDTF">2021-11-11T18:02:00Z</dcterms:created>
  <dcterms:modified xsi:type="dcterms:W3CDTF">2023-04-27T15:24:00Z</dcterms:modified>
</cp:coreProperties>
</file>